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72925">
              <w:rPr>
                <w:rFonts w:ascii="Times New Roman" w:hAnsi="Times New Roman" w:cs="Times New Roman"/>
                <w:sz w:val="28"/>
                <w:szCs w:val="28"/>
              </w:rPr>
              <w:t>9 798,</w:t>
            </w:r>
            <w:r w:rsidR="008F3E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2925">
              <w:rPr>
                <w:rFonts w:ascii="Times New Roman" w:hAnsi="Times New Roman" w:cs="Times New Roman"/>
                <w:sz w:val="28"/>
                <w:szCs w:val="28"/>
              </w:rPr>
              <w:t>4 591,9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8F3E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 xml:space="preserve">%, вследствие эксплуатации </w:t>
      </w:r>
      <w:r w:rsidRPr="0062021B">
        <w:rPr>
          <w:rFonts w:ascii="Times New Roman" w:hAnsi="Times New Roman" w:cs="Times New Roman"/>
          <w:sz w:val="28"/>
          <w:szCs w:val="28"/>
        </w:rPr>
        <w:lastRenderedPageBreak/>
        <w:t>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lastRenderedPageBreak/>
        <w:t xml:space="preserve">   «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 </w:t>
      </w:r>
      <w:r w:rsidR="00DB3DDA">
        <w:rPr>
          <w:rFonts w:ascii="Times New Roman" w:hAnsi="Times New Roman" w:cs="Times New Roman"/>
          <w:sz w:val="28"/>
          <w:szCs w:val="28"/>
        </w:rPr>
        <w:t>4</w:t>
      </w:r>
      <w:r w:rsidR="007952FB">
        <w:rPr>
          <w:rFonts w:ascii="Times New Roman" w:hAnsi="Times New Roman" w:cs="Times New Roman"/>
          <w:sz w:val="28"/>
          <w:szCs w:val="28"/>
        </w:rPr>
        <w:t>9 798</w:t>
      </w:r>
      <w:r w:rsidR="00D501B9">
        <w:rPr>
          <w:rFonts w:ascii="Times New Roman" w:hAnsi="Times New Roman" w:cs="Times New Roman"/>
          <w:sz w:val="28"/>
          <w:szCs w:val="28"/>
        </w:rPr>
        <w:t>4</w:t>
      </w:r>
      <w:r w:rsidR="007952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E4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годам: 2014 год </w:t>
      </w:r>
      <w:r w:rsidR="008756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DDA">
        <w:rPr>
          <w:rFonts w:ascii="Times New Roman" w:hAnsi="Times New Roman" w:cs="Times New Roman"/>
          <w:sz w:val="28"/>
          <w:szCs w:val="28"/>
        </w:rPr>
        <w:t>3</w:t>
      </w:r>
      <w:r w:rsidR="007952FB">
        <w:rPr>
          <w:rFonts w:ascii="Times New Roman" w:hAnsi="Times New Roman" w:cs="Times New Roman"/>
          <w:sz w:val="28"/>
          <w:szCs w:val="28"/>
        </w:rPr>
        <w:t>4 591,9</w:t>
      </w:r>
      <w:r>
        <w:rPr>
          <w:rFonts w:ascii="Times New Roman" w:hAnsi="Times New Roman" w:cs="Times New Roman"/>
          <w:sz w:val="28"/>
          <w:szCs w:val="28"/>
        </w:rPr>
        <w:t xml:space="preserve"> тыс.рублей;  2015 год – 7 603,2 тыс.рублей;  2016 год – 7 603,</w:t>
      </w:r>
      <w:r w:rsidR="00D501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7DC" w:rsidRDefault="007747DC" w:rsidP="0061187D">
      <w:pPr>
        <w:spacing w:after="0" w:line="240" w:lineRule="auto"/>
      </w:pPr>
      <w:r>
        <w:separator/>
      </w:r>
    </w:p>
  </w:endnote>
  <w:endnote w:type="continuationSeparator" w:id="1">
    <w:p w:rsidR="007747DC" w:rsidRDefault="007747DC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7DC" w:rsidRDefault="007747DC" w:rsidP="0061187D">
      <w:pPr>
        <w:spacing w:after="0" w:line="240" w:lineRule="auto"/>
      </w:pPr>
      <w:r>
        <w:separator/>
      </w:r>
    </w:p>
  </w:footnote>
  <w:footnote w:type="continuationSeparator" w:id="1">
    <w:p w:rsidR="007747DC" w:rsidRDefault="007747DC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6829BB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01B9">
      <w:rPr>
        <w:rStyle w:val="a5"/>
        <w:noProof/>
      </w:rPr>
      <w:t>8</w:t>
    </w:r>
    <w:r>
      <w:rPr>
        <w:rStyle w:val="a5"/>
      </w:rPr>
      <w:fldChar w:fldCharType="end"/>
    </w:r>
  </w:p>
  <w:p w:rsidR="004A198D" w:rsidRDefault="007747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72925"/>
    <w:rsid w:val="00083FDE"/>
    <w:rsid w:val="00084F1B"/>
    <w:rsid w:val="000D3768"/>
    <w:rsid w:val="00111E4B"/>
    <w:rsid w:val="00173B91"/>
    <w:rsid w:val="001A3964"/>
    <w:rsid w:val="00270484"/>
    <w:rsid w:val="002A1310"/>
    <w:rsid w:val="002A6B74"/>
    <w:rsid w:val="002D25A6"/>
    <w:rsid w:val="002E4808"/>
    <w:rsid w:val="003309AF"/>
    <w:rsid w:val="00387EAC"/>
    <w:rsid w:val="003A4866"/>
    <w:rsid w:val="003B1518"/>
    <w:rsid w:val="003E202C"/>
    <w:rsid w:val="00445B66"/>
    <w:rsid w:val="00452B62"/>
    <w:rsid w:val="004C5DA5"/>
    <w:rsid w:val="004C7B63"/>
    <w:rsid w:val="005043E0"/>
    <w:rsid w:val="00550DDC"/>
    <w:rsid w:val="005A4784"/>
    <w:rsid w:val="0061187D"/>
    <w:rsid w:val="00626E44"/>
    <w:rsid w:val="00641BC8"/>
    <w:rsid w:val="00662007"/>
    <w:rsid w:val="006829BB"/>
    <w:rsid w:val="0074103A"/>
    <w:rsid w:val="007601F6"/>
    <w:rsid w:val="007747DC"/>
    <w:rsid w:val="007952FB"/>
    <w:rsid w:val="007A76BF"/>
    <w:rsid w:val="008756AB"/>
    <w:rsid w:val="008B2E6D"/>
    <w:rsid w:val="008E43D4"/>
    <w:rsid w:val="008F3E9F"/>
    <w:rsid w:val="008F5625"/>
    <w:rsid w:val="00950036"/>
    <w:rsid w:val="00972BDF"/>
    <w:rsid w:val="00A3029F"/>
    <w:rsid w:val="00A37218"/>
    <w:rsid w:val="00AA019E"/>
    <w:rsid w:val="00AC49FF"/>
    <w:rsid w:val="00AD3DEE"/>
    <w:rsid w:val="00AE4C96"/>
    <w:rsid w:val="00B049F1"/>
    <w:rsid w:val="00B12496"/>
    <w:rsid w:val="00B379D6"/>
    <w:rsid w:val="00B64462"/>
    <w:rsid w:val="00B845A5"/>
    <w:rsid w:val="00BA1CDD"/>
    <w:rsid w:val="00BA3718"/>
    <w:rsid w:val="00BB15F1"/>
    <w:rsid w:val="00BD15CE"/>
    <w:rsid w:val="00C367FE"/>
    <w:rsid w:val="00C42353"/>
    <w:rsid w:val="00D04B65"/>
    <w:rsid w:val="00D501B9"/>
    <w:rsid w:val="00DA7601"/>
    <w:rsid w:val="00DB3DDA"/>
    <w:rsid w:val="00E02E9D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9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2014-06-04T09:28:00Z</cp:lastPrinted>
  <dcterms:created xsi:type="dcterms:W3CDTF">2014-05-14T04:19:00Z</dcterms:created>
  <dcterms:modified xsi:type="dcterms:W3CDTF">2014-11-10T10:06:00Z</dcterms:modified>
</cp:coreProperties>
</file>